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98" w:rsidRDefault="00050E98"/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8"/>
        <w:gridCol w:w="9922"/>
      </w:tblGrid>
      <w:tr w:rsidR="00DF0FA1" w:rsidRPr="008114BB" w:rsidTr="008114BB">
        <w:trPr>
          <w:trHeight w:val="776"/>
        </w:trPr>
        <w:tc>
          <w:tcPr>
            <w:tcW w:w="15735" w:type="dxa"/>
            <w:gridSpan w:val="3"/>
            <w:vAlign w:val="center"/>
          </w:tcPr>
          <w:p w:rsidR="00DF0FA1" w:rsidRPr="008114BB" w:rsidRDefault="0095564C" w:rsidP="008114B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8114BB">
              <w:rPr>
                <w:b/>
                <w:sz w:val="28"/>
              </w:rPr>
              <w:t>Ce que</w:t>
            </w:r>
            <w:r w:rsidR="00DF0FA1" w:rsidRPr="008114BB">
              <w:rPr>
                <w:b/>
                <w:sz w:val="28"/>
              </w:rPr>
              <w:t xml:space="preserve"> l’AFL2 </w:t>
            </w:r>
            <w:r w:rsidRPr="008114BB">
              <w:rPr>
                <w:b/>
                <w:sz w:val="28"/>
              </w:rPr>
              <w:t xml:space="preserve">implique </w:t>
            </w:r>
            <w:r w:rsidRPr="008114BB">
              <w:rPr>
                <w:b/>
                <w:sz w:val="28"/>
                <w:u w:val="single"/>
              </w:rPr>
              <w:t>prioritairement</w:t>
            </w:r>
            <w:r w:rsidR="00DF0FA1" w:rsidRPr="008114BB">
              <w:rPr>
                <w:b/>
                <w:sz w:val="28"/>
              </w:rPr>
              <w:t xml:space="preserve"> au niveau des E</w:t>
            </w:r>
            <w:r w:rsidR="00511CEE" w:rsidRPr="008114BB">
              <w:rPr>
                <w:b/>
                <w:sz w:val="28"/>
              </w:rPr>
              <w:t>njeux et/ou</w:t>
            </w:r>
            <w:r w:rsidR="00DF0FA1" w:rsidRPr="008114BB">
              <w:rPr>
                <w:b/>
                <w:sz w:val="28"/>
              </w:rPr>
              <w:t xml:space="preserve"> des démarches pédagogiques </w:t>
            </w:r>
            <w:r w:rsidR="00511CEE" w:rsidRPr="008114BB">
              <w:rPr>
                <w:b/>
                <w:sz w:val="28"/>
              </w:rPr>
              <w:t>et/ou</w:t>
            </w:r>
            <w:r w:rsidR="00DF0FA1" w:rsidRPr="008114BB">
              <w:rPr>
                <w:b/>
                <w:sz w:val="28"/>
              </w:rPr>
              <w:t xml:space="preserve"> de la didactique </w:t>
            </w:r>
          </w:p>
          <w:p w:rsidR="00DF0FA1" w:rsidRPr="008114BB" w:rsidRDefault="0095564C" w:rsidP="008114BB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8114BB">
              <w:rPr>
                <w:b/>
                <w:i/>
                <w:sz w:val="28"/>
              </w:rPr>
              <w:t>Exprimer pour chaque type de contenu et</w:t>
            </w:r>
            <w:r w:rsidR="00DF0FA1" w:rsidRPr="008114BB">
              <w:rPr>
                <w:b/>
                <w:i/>
                <w:sz w:val="28"/>
              </w:rPr>
              <w:t xml:space="preserve"> e</w:t>
            </w:r>
            <w:r w:rsidR="00F94F96" w:rsidRPr="008114BB">
              <w:rPr>
                <w:b/>
                <w:i/>
                <w:sz w:val="28"/>
              </w:rPr>
              <w:t>n une phrase : l’incontournable, l’essentiel</w:t>
            </w:r>
            <w:r w:rsidR="00DF0FA1" w:rsidRPr="008114BB">
              <w:rPr>
                <w:b/>
                <w:i/>
                <w:sz w:val="28"/>
              </w:rPr>
              <w:t>!</w:t>
            </w:r>
          </w:p>
        </w:tc>
      </w:tr>
      <w:tr w:rsidR="00F94F96" w:rsidRPr="008114BB" w:rsidTr="008114BB">
        <w:trPr>
          <w:trHeight w:val="776"/>
        </w:trPr>
        <w:tc>
          <w:tcPr>
            <w:tcW w:w="1985" w:type="dxa"/>
            <w:vAlign w:val="center"/>
          </w:tcPr>
          <w:p w:rsidR="00F94F96" w:rsidRPr="008114BB" w:rsidRDefault="0095564C" w:rsidP="008114B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114BB">
              <w:rPr>
                <w:b/>
                <w:sz w:val="24"/>
              </w:rPr>
              <w:t>Type de contenu</w:t>
            </w:r>
          </w:p>
        </w:tc>
        <w:tc>
          <w:tcPr>
            <w:tcW w:w="3828" w:type="dxa"/>
            <w:vAlign w:val="center"/>
          </w:tcPr>
          <w:p w:rsidR="00F94F96" w:rsidRPr="008114BB" w:rsidRDefault="00F94F96" w:rsidP="008114B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114BB">
              <w:rPr>
                <w:b/>
                <w:sz w:val="24"/>
              </w:rPr>
              <w:t>Pour le professeur pour l’ensemble des champs d’apprentissage</w:t>
            </w:r>
          </w:p>
        </w:tc>
        <w:tc>
          <w:tcPr>
            <w:tcW w:w="9922" w:type="dxa"/>
            <w:vAlign w:val="center"/>
          </w:tcPr>
          <w:p w:rsidR="00F94F96" w:rsidRPr="008114BB" w:rsidRDefault="00F94F96" w:rsidP="008114B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114BB">
              <w:rPr>
                <w:b/>
                <w:sz w:val="24"/>
              </w:rPr>
              <w:t>Pour l’élève pour l’ensemble des champs d’apprentissage</w:t>
            </w:r>
          </w:p>
        </w:tc>
      </w:tr>
      <w:tr w:rsidR="00F94F96" w:rsidRPr="008114BB" w:rsidTr="008114BB">
        <w:trPr>
          <w:trHeight w:val="1534"/>
        </w:trPr>
        <w:tc>
          <w:tcPr>
            <w:tcW w:w="1985" w:type="dxa"/>
            <w:vAlign w:val="center"/>
          </w:tcPr>
          <w:p w:rsidR="00F94F96" w:rsidRPr="008114BB" w:rsidRDefault="00F94F96" w:rsidP="008114BB">
            <w:pPr>
              <w:spacing w:after="0" w:line="240" w:lineRule="auto"/>
              <w:jc w:val="center"/>
              <w:rPr>
                <w:b/>
                <w:sz w:val="32"/>
              </w:rPr>
            </w:pPr>
            <w:bookmarkStart w:id="0" w:name="_GoBack" w:colFirst="1" w:colLast="2"/>
            <w:r w:rsidRPr="008114BB">
              <w:rPr>
                <w:b/>
                <w:sz w:val="32"/>
              </w:rPr>
              <w:t>Apprend à se connaitre</w:t>
            </w:r>
          </w:p>
        </w:tc>
        <w:tc>
          <w:tcPr>
            <w:tcW w:w="3828" w:type="dxa"/>
            <w:vAlign w:val="center"/>
          </w:tcPr>
          <w:p w:rsidR="00F02AC4" w:rsidRPr="00E06E0C" w:rsidRDefault="001147DD" w:rsidP="008114BB">
            <w:pPr>
              <w:spacing w:after="0" w:line="240" w:lineRule="auto"/>
              <w:jc w:val="both"/>
            </w:pPr>
            <w:r w:rsidRPr="00E06E0C">
              <w:t>Connaître la situation de référence→ diagnostic de performance</w:t>
            </w:r>
            <w:r w:rsidR="00CA4292" w:rsidRPr="00E06E0C">
              <w:t>.</w:t>
            </w:r>
          </w:p>
          <w:p w:rsidR="001147DD" w:rsidRPr="00E06E0C" w:rsidRDefault="001147DD" w:rsidP="008114BB">
            <w:pPr>
              <w:spacing w:after="0" w:line="240" w:lineRule="auto"/>
              <w:jc w:val="both"/>
            </w:pPr>
            <w:r w:rsidRPr="00E06E0C">
              <w:t xml:space="preserve">Connaître les grands principes de </w:t>
            </w:r>
            <w:r w:rsidR="00CA4292" w:rsidRPr="00E06E0C">
              <w:t>l’échauffement</w:t>
            </w:r>
            <w:r w:rsidRPr="00E06E0C">
              <w:t xml:space="preserve"> et de leur mise œuvre dans le cadre de </w:t>
            </w:r>
            <w:r w:rsidR="00CA4292" w:rsidRPr="00E06E0C">
              <w:t>l’APSA</w:t>
            </w:r>
            <w:r w:rsidRPr="00E06E0C">
              <w:t xml:space="preserve"> en général et de la tâche en particulier</w:t>
            </w:r>
            <w:r w:rsidR="00CA4292" w:rsidRPr="00E06E0C">
              <w:t>.</w:t>
            </w:r>
          </w:p>
          <w:p w:rsidR="001147DD" w:rsidRPr="00E06E0C" w:rsidRDefault="001147DD" w:rsidP="008114BB">
            <w:pPr>
              <w:spacing w:after="0" w:line="240" w:lineRule="auto"/>
              <w:jc w:val="both"/>
            </w:pPr>
            <w:r w:rsidRPr="00E06E0C">
              <w:t>Connaître les ressources sollicités et le type de travail permettant de les développer</w:t>
            </w:r>
            <w:r w:rsidR="00CA4292" w:rsidRPr="00E06E0C">
              <w:t>.</w:t>
            </w:r>
          </w:p>
          <w:p w:rsidR="001147DD" w:rsidRPr="00E06E0C" w:rsidRDefault="001147DD" w:rsidP="008114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06E0C">
              <w:t xml:space="preserve">Connaître les données physiologiques, les principes biomécaniques et les types de stratégies </w:t>
            </w:r>
            <w:r w:rsidR="00CA4292" w:rsidRPr="00E06E0C">
              <w:t>d’action.</w:t>
            </w:r>
          </w:p>
        </w:tc>
        <w:tc>
          <w:tcPr>
            <w:tcW w:w="9922" w:type="dxa"/>
            <w:vAlign w:val="center"/>
          </w:tcPr>
          <w:p w:rsidR="00F94F96" w:rsidRPr="00E06E0C" w:rsidRDefault="001147DD" w:rsidP="008114B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E06E0C">
              <w:t xml:space="preserve">Acquérir un ensemble </w:t>
            </w:r>
            <w:r w:rsidR="00C84083" w:rsidRPr="00E06E0C">
              <w:t>de connaissances physiologiques</w:t>
            </w:r>
            <w:r w:rsidRPr="00E06E0C">
              <w:t xml:space="preserve">, tactiques, techniques et psychologiques </w:t>
            </w:r>
            <w:r w:rsidR="00C84083" w:rsidRPr="00E06E0C">
              <w:t>permetta</w:t>
            </w:r>
            <w:r w:rsidRPr="00E06E0C">
              <w:t>nt d’identifier ce qui dégrade m</w:t>
            </w:r>
            <w:r w:rsidR="00C84083" w:rsidRPr="00E06E0C">
              <w:t>a performance =&gt; s’approprier les observables garants du progrès et identifier les ressources prioritaires à développer.</w:t>
            </w:r>
          </w:p>
        </w:tc>
      </w:tr>
      <w:tr w:rsidR="00F94F96" w:rsidRPr="008114BB" w:rsidTr="008114BB">
        <w:trPr>
          <w:trHeight w:val="1534"/>
        </w:trPr>
        <w:tc>
          <w:tcPr>
            <w:tcW w:w="1985" w:type="dxa"/>
            <w:vAlign w:val="center"/>
          </w:tcPr>
          <w:p w:rsidR="00F94F96" w:rsidRPr="008114BB" w:rsidRDefault="00F94F96" w:rsidP="008114B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8114BB">
              <w:rPr>
                <w:b/>
                <w:sz w:val="32"/>
              </w:rPr>
              <w:t>Fait des choix</w:t>
            </w:r>
          </w:p>
        </w:tc>
        <w:tc>
          <w:tcPr>
            <w:tcW w:w="3828" w:type="dxa"/>
            <w:vAlign w:val="center"/>
          </w:tcPr>
          <w:p w:rsidR="00F94F96" w:rsidRPr="00E06E0C" w:rsidRDefault="001147DD" w:rsidP="008114BB">
            <w:pPr>
              <w:spacing w:after="0" w:line="240" w:lineRule="auto"/>
              <w:jc w:val="both"/>
            </w:pPr>
            <w:r w:rsidRPr="00E06E0C">
              <w:t>Donner les outils du progrès et de la réussite SANS PRESCRIRE</w:t>
            </w:r>
            <w:r w:rsidR="00C701A2" w:rsidRPr="00E06E0C">
              <w:t>.</w:t>
            </w:r>
          </w:p>
        </w:tc>
        <w:tc>
          <w:tcPr>
            <w:tcW w:w="9922" w:type="dxa"/>
            <w:vAlign w:val="center"/>
          </w:tcPr>
          <w:p w:rsidR="00F94F96" w:rsidRPr="00E06E0C" w:rsidRDefault="008114BB" w:rsidP="008114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E06E0C">
              <w:t>Mettre en place un travail qualitatif et/ou quantitatif en adéquation avec les attendus de fin de lycée.</w:t>
            </w:r>
            <w:r w:rsidR="00C84083" w:rsidRPr="00E06E0C">
              <w:t xml:space="preserve"> </w:t>
            </w:r>
          </w:p>
        </w:tc>
      </w:tr>
      <w:tr w:rsidR="00F94F96" w:rsidRPr="008114BB" w:rsidTr="008114BB">
        <w:trPr>
          <w:trHeight w:val="1534"/>
        </w:trPr>
        <w:tc>
          <w:tcPr>
            <w:tcW w:w="1985" w:type="dxa"/>
            <w:vAlign w:val="center"/>
          </w:tcPr>
          <w:p w:rsidR="00F94F96" w:rsidRPr="008114BB" w:rsidRDefault="00F94F96" w:rsidP="008114B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8114BB">
              <w:rPr>
                <w:b/>
                <w:sz w:val="32"/>
              </w:rPr>
              <w:t>Se prépare</w:t>
            </w:r>
          </w:p>
        </w:tc>
        <w:tc>
          <w:tcPr>
            <w:tcW w:w="3828" w:type="dxa"/>
            <w:vAlign w:val="center"/>
          </w:tcPr>
          <w:p w:rsidR="00F94F96" w:rsidRPr="00E06E0C" w:rsidRDefault="00F65843" w:rsidP="008114BB">
            <w:pPr>
              <w:spacing w:after="0" w:line="240" w:lineRule="auto"/>
              <w:jc w:val="both"/>
            </w:pPr>
            <w:r w:rsidRPr="00E06E0C">
              <w:t>Confirmer ou infirmer les choix de l’élève en s’appuyant sur des relevés d’informations objectives.</w:t>
            </w:r>
          </w:p>
        </w:tc>
        <w:tc>
          <w:tcPr>
            <w:tcW w:w="9922" w:type="dxa"/>
            <w:vAlign w:val="center"/>
          </w:tcPr>
          <w:p w:rsidR="00F94F96" w:rsidRPr="00E06E0C" w:rsidRDefault="00464B12" w:rsidP="008114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E06E0C">
              <w:t xml:space="preserve">Organiser </w:t>
            </w:r>
            <w:r w:rsidR="00F65843" w:rsidRPr="00E06E0C">
              <w:t>l</w:t>
            </w:r>
            <w:r w:rsidRPr="00E06E0C">
              <w:t>a séquence d’apprentissage</w:t>
            </w:r>
            <w:r w:rsidR="00F65843" w:rsidRPr="00E06E0C">
              <w:t xml:space="preserve"> en choisissant un enchaînement de thématiques d’apprentissage illustré</w:t>
            </w:r>
            <w:r w:rsidR="008114BB" w:rsidRPr="00E06E0C">
              <w:t>e</w:t>
            </w:r>
            <w:r w:rsidR="00F65843" w:rsidRPr="00E06E0C">
              <w:t>s par des situations spécifiques tenant compte du constat de départ et du potentiel de l’élève.</w:t>
            </w:r>
          </w:p>
        </w:tc>
      </w:tr>
      <w:tr w:rsidR="00F94F96" w:rsidRPr="008114BB" w:rsidTr="008114BB">
        <w:trPr>
          <w:trHeight w:val="1534"/>
        </w:trPr>
        <w:tc>
          <w:tcPr>
            <w:tcW w:w="1985" w:type="dxa"/>
            <w:vAlign w:val="center"/>
          </w:tcPr>
          <w:p w:rsidR="00F94F96" w:rsidRPr="008114BB" w:rsidRDefault="00F94F96" w:rsidP="008114B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8114BB">
              <w:rPr>
                <w:b/>
                <w:sz w:val="32"/>
              </w:rPr>
              <w:t>Conduit et régule ses efforts</w:t>
            </w:r>
          </w:p>
        </w:tc>
        <w:tc>
          <w:tcPr>
            <w:tcW w:w="3828" w:type="dxa"/>
            <w:vAlign w:val="center"/>
          </w:tcPr>
          <w:p w:rsidR="00F94F96" w:rsidRPr="00E06E0C" w:rsidRDefault="008114BB" w:rsidP="008114BB">
            <w:pPr>
              <w:spacing w:after="0" w:line="240" w:lineRule="auto"/>
              <w:jc w:val="both"/>
            </w:pPr>
            <w:r w:rsidRPr="00E06E0C">
              <w:t xml:space="preserve">Accompagner l'élève dans l'analyse de ses prestations et lui permettre </w:t>
            </w:r>
            <w:r w:rsidR="00CA4292" w:rsidRPr="00E06E0C">
              <w:t>d’adapter</w:t>
            </w:r>
            <w:r w:rsidRPr="00E06E0C">
              <w:t xml:space="preserve"> la suite du travail par rapport à des relevés </w:t>
            </w:r>
            <w:r w:rsidR="00CA4292" w:rsidRPr="00E06E0C">
              <w:t>d’indices</w:t>
            </w:r>
            <w:r w:rsidRPr="00E06E0C">
              <w:t>.</w:t>
            </w:r>
          </w:p>
        </w:tc>
        <w:tc>
          <w:tcPr>
            <w:tcW w:w="9922" w:type="dxa"/>
            <w:vAlign w:val="center"/>
          </w:tcPr>
          <w:p w:rsidR="00F94F96" w:rsidRPr="00E06E0C" w:rsidRDefault="00F65843" w:rsidP="008114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E06E0C">
              <w:t xml:space="preserve">Se montrer rigoureux pour </w:t>
            </w:r>
            <w:r w:rsidR="005D0033" w:rsidRPr="00E06E0C">
              <w:t xml:space="preserve">respecter la planification prévue lors de la séance puis avoir un regard critique de sa pratique (réussite ou non, indicateur de fatigue, …) </w:t>
            </w:r>
            <w:r w:rsidR="004B255D" w:rsidRPr="00E06E0C">
              <w:t>pour maintenir ou redéfinir ses objectifs, ses contrats.</w:t>
            </w:r>
            <w:r w:rsidR="005D0033" w:rsidRPr="00E06E0C">
              <w:t xml:space="preserve"> </w:t>
            </w:r>
          </w:p>
        </w:tc>
      </w:tr>
      <w:bookmarkEnd w:id="0"/>
    </w:tbl>
    <w:p w:rsidR="00DF0FA1" w:rsidRDefault="00DF0FA1"/>
    <w:sectPr w:rsidR="00DF0FA1" w:rsidSect="008114BB">
      <w:pgSz w:w="16838" w:h="11906" w:orient="landscape"/>
      <w:pgMar w:top="22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3D"/>
    <w:multiLevelType w:val="hybridMultilevel"/>
    <w:tmpl w:val="CB10D4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D1FF9"/>
    <w:multiLevelType w:val="hybridMultilevel"/>
    <w:tmpl w:val="85BA97A4"/>
    <w:lvl w:ilvl="0" w:tplc="487E61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57BC9"/>
    <w:multiLevelType w:val="hybridMultilevel"/>
    <w:tmpl w:val="BA0281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9E0EFC"/>
    <w:multiLevelType w:val="hybridMultilevel"/>
    <w:tmpl w:val="5F9A1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A1"/>
    <w:rsid w:val="00050E98"/>
    <w:rsid w:val="001147DD"/>
    <w:rsid w:val="00464B12"/>
    <w:rsid w:val="004B255D"/>
    <w:rsid w:val="00511CEE"/>
    <w:rsid w:val="005D0033"/>
    <w:rsid w:val="00793E5A"/>
    <w:rsid w:val="007B5526"/>
    <w:rsid w:val="007D49CD"/>
    <w:rsid w:val="008114BB"/>
    <w:rsid w:val="0092668C"/>
    <w:rsid w:val="0095564C"/>
    <w:rsid w:val="009D746F"/>
    <w:rsid w:val="00AE7349"/>
    <w:rsid w:val="00C370FF"/>
    <w:rsid w:val="00C701A2"/>
    <w:rsid w:val="00C84083"/>
    <w:rsid w:val="00CA4292"/>
    <w:rsid w:val="00D223DC"/>
    <w:rsid w:val="00DF0FA1"/>
    <w:rsid w:val="00E06E0C"/>
    <w:rsid w:val="00F02AC4"/>
    <w:rsid w:val="00F65843"/>
    <w:rsid w:val="00F94F96"/>
    <w:rsid w:val="00FE1335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6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3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6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Kogut</dc:creator>
  <cp:keywords/>
  <cp:lastModifiedBy>olivierlena@orange.fr</cp:lastModifiedBy>
  <cp:revision>4</cp:revision>
  <dcterms:created xsi:type="dcterms:W3CDTF">2020-03-05T16:27:00Z</dcterms:created>
  <dcterms:modified xsi:type="dcterms:W3CDTF">2020-03-12T08:28:00Z</dcterms:modified>
</cp:coreProperties>
</file>